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32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6-7 汽车故障应急处理与检查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通过学习，使学生掌握汽车故障应急处理与检查。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kern w:val="0"/>
                <w:szCs w:val="21"/>
              </w:rPr>
              <w:t>了解汽车常见故障有哪些。</w:t>
            </w:r>
          </w:p>
        </w:tc>
        <w:tc>
          <w:tcPr>
            <w:tcW w:w="2340" w:type="dxa"/>
          </w:tcPr>
          <w:p>
            <w:pPr>
              <w:spacing w:line="360" w:lineRule="auto"/>
              <w:rPr>
                <w:rFonts w:hint="eastAsia" w:ascii="宋体" w:hAnsi="宋体"/>
                <w:szCs w:val="21"/>
              </w:rPr>
            </w:pPr>
            <w:r>
              <w:rPr>
                <w:rFonts w:hint="eastAsia" w:ascii="宋体" w:hAnsi="宋体"/>
                <w:szCs w:val="21"/>
              </w:rPr>
              <w:t>掌握汽车故障应急处理与检查。</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掌握汽车故障应急处理与检查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掌握汽车故障应急处理与检查。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szCs w:val="21"/>
              </w:rPr>
              <w:t>汽车突然熄火，应如何处理？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二、知识目标</w:t>
            </w:r>
          </w:p>
          <w:p>
            <w:pPr>
              <w:spacing w:line="360" w:lineRule="auto"/>
              <w:rPr>
                <w:rFonts w:hint="eastAsia" w:ascii="宋体" w:hAnsi="宋体"/>
                <w:kern w:val="0"/>
                <w:sz w:val="24"/>
                <w:szCs w:val="18"/>
              </w:rPr>
            </w:pPr>
            <w:r>
              <w:rPr>
                <w:rFonts w:hint="eastAsia" w:ascii="宋体" w:hAnsi="宋体"/>
                <w:kern w:val="0"/>
                <w:sz w:val="24"/>
                <w:szCs w:val="18"/>
              </w:rPr>
              <w:t>1、了解汽车常见故障有哪些。</w:t>
            </w:r>
          </w:p>
          <w:p>
            <w:pPr>
              <w:spacing w:line="360" w:lineRule="auto"/>
              <w:rPr>
                <w:rFonts w:hint="eastAsia" w:ascii="宋体" w:hAnsi="宋体"/>
                <w:kern w:val="0"/>
                <w:sz w:val="24"/>
                <w:szCs w:val="18"/>
              </w:rPr>
            </w:pPr>
            <w:r>
              <w:rPr>
                <w:rFonts w:hint="eastAsia" w:ascii="宋体" w:hAnsi="宋体"/>
                <w:kern w:val="0"/>
                <w:sz w:val="24"/>
                <w:szCs w:val="18"/>
              </w:rPr>
              <w:t>2、掌握汽车故障应急处理与检查。</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ind w:firstLine="482" w:firstLineChars="200"/>
              <w:rPr>
                <w:rFonts w:hint="eastAsia" w:ascii="宋体" w:hAnsi="宋体"/>
                <w:b/>
                <w:bCs/>
                <w:kern w:val="0"/>
                <w:sz w:val="24"/>
                <w:szCs w:val="18"/>
              </w:rPr>
            </w:pPr>
            <w:r>
              <w:rPr>
                <w:rFonts w:hint="eastAsia" w:ascii="宋体" w:hAnsi="宋体"/>
                <w:b/>
                <w:bCs/>
                <w:kern w:val="0"/>
                <w:sz w:val="24"/>
                <w:szCs w:val="18"/>
              </w:rPr>
              <w:t>（一）熄火</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汽车在行车中，因车辆故障或驾驶失误等原因导致发动机突然熄火，此时应开启右转向灯，将车缓慢滑行到路边停车，检查熄火原因。</w:t>
            </w:r>
          </w:p>
          <w:p>
            <w:pPr>
              <w:spacing w:line="360" w:lineRule="auto"/>
              <w:rPr>
                <w:rFonts w:hint="eastAsia" w:ascii="宋体" w:hAnsi="宋体"/>
                <w:b/>
                <w:bCs/>
                <w:kern w:val="0"/>
                <w:sz w:val="24"/>
                <w:szCs w:val="18"/>
              </w:rPr>
            </w:pPr>
            <w:r>
              <w:rPr>
                <w:rFonts w:hint="eastAsia" w:ascii="宋体" w:hAnsi="宋体"/>
                <w:b/>
                <w:bCs/>
                <w:kern w:val="0"/>
                <w:sz w:val="24"/>
                <w:szCs w:val="18"/>
              </w:rPr>
              <w:t xml:space="preserve">    （二）自燃</w:t>
            </w:r>
          </w:p>
          <w:p>
            <w:pPr>
              <w:spacing w:line="360" w:lineRule="auto"/>
              <w:ind w:firstLine="470" w:firstLineChars="196"/>
              <w:rPr>
                <w:rFonts w:ascii="宋体" w:hAnsi="宋体"/>
                <w:bCs/>
                <w:kern w:val="0"/>
                <w:sz w:val="24"/>
                <w:szCs w:val="18"/>
              </w:rPr>
            </w:pPr>
            <w:r>
              <w:rPr>
                <w:rFonts w:hint="eastAsia" w:ascii="宋体" w:hAnsi="宋体"/>
                <w:bCs/>
                <w:kern w:val="0"/>
                <w:sz w:val="24"/>
                <w:szCs w:val="18"/>
              </w:rPr>
              <w:t>引发车辆自燃的两个重要诱因</w:t>
            </w:r>
            <w:r>
              <w:rPr>
                <w:rFonts w:ascii="宋体" w:hAnsi="宋体"/>
                <w:bCs/>
                <w:kern w:val="0"/>
                <w:sz w:val="24"/>
                <w:szCs w:val="18"/>
              </w:rPr>
              <w:t>——</w:t>
            </w:r>
            <w:r>
              <w:rPr>
                <w:rFonts w:hint="eastAsia" w:ascii="宋体" w:hAnsi="宋体"/>
                <w:bCs/>
                <w:kern w:val="0"/>
                <w:sz w:val="24"/>
                <w:szCs w:val="18"/>
              </w:rPr>
              <w:t>油路和电路</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车辆的自燃的原因分为车辆原因和人为原因两种，车辆原因基本上是由于电路和油路的老化导致的，而人为原因就是在车内仍烟头引燃易燃物导致的。第二个原因就不用多说了，做到在车内不要吸烟和放置易燃物品，坏习惯是最大的安全隐患。</w:t>
            </w:r>
          </w:p>
          <w:p>
            <w:pPr>
              <w:spacing w:line="360" w:lineRule="auto"/>
              <w:ind w:firstLine="472" w:firstLineChars="196"/>
              <w:rPr>
                <w:rFonts w:ascii="宋体" w:hAnsi="宋体"/>
                <w:b/>
                <w:bCs/>
                <w:kern w:val="0"/>
                <w:sz w:val="24"/>
                <w:szCs w:val="18"/>
              </w:rPr>
            </w:pPr>
            <w:r>
              <w:rPr>
                <w:rFonts w:hint="eastAsia" w:ascii="宋体" w:hAnsi="宋体"/>
                <w:b/>
                <w:bCs/>
                <w:kern w:val="0"/>
                <w:sz w:val="24"/>
                <w:szCs w:val="18"/>
              </w:rPr>
              <w:t>诱因一：电路老化引起短路</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方法一：绝缘胶布简单处理</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方法二：更换破损线路</w:t>
            </w:r>
          </w:p>
          <w:p>
            <w:pPr>
              <w:spacing w:line="360" w:lineRule="auto"/>
              <w:ind w:firstLine="472" w:firstLineChars="196"/>
              <w:rPr>
                <w:rFonts w:hint="eastAsia" w:ascii="宋体" w:hAnsi="宋体"/>
                <w:b/>
                <w:bCs/>
                <w:kern w:val="0"/>
                <w:sz w:val="24"/>
                <w:szCs w:val="18"/>
              </w:rPr>
            </w:pPr>
            <w:r>
              <w:rPr>
                <w:rFonts w:hint="eastAsia" w:ascii="宋体" w:hAnsi="宋体"/>
                <w:b/>
                <w:bCs/>
                <w:kern w:val="0"/>
                <w:sz w:val="24"/>
                <w:szCs w:val="18"/>
              </w:rPr>
              <w:t>诱因二：油路老化导致漏油起火</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当然除去传统的修补更换，大多数商家还推出有新型业务，比较常见的是一种称为机舱清洁的业务，简单的说就是将机舱内完全清洗干净后喷涂一层树脂膜进行绝缘保护。</w:t>
            </w:r>
          </w:p>
          <w:p>
            <w:pPr>
              <w:spacing w:line="360" w:lineRule="auto"/>
              <w:ind w:firstLine="472" w:firstLineChars="196"/>
              <w:rPr>
                <w:rFonts w:hint="eastAsia" w:ascii="宋体" w:hAnsi="宋体"/>
                <w:b/>
                <w:bCs/>
                <w:kern w:val="0"/>
                <w:sz w:val="24"/>
                <w:szCs w:val="18"/>
              </w:rPr>
            </w:pPr>
          </w:p>
          <w:p>
            <w:pPr>
              <w:spacing w:line="360" w:lineRule="auto"/>
              <w:ind w:firstLine="472" w:firstLineChars="196"/>
              <w:rPr>
                <w:rFonts w:hint="eastAsia" w:ascii="宋体" w:hAnsi="宋体"/>
                <w:b/>
                <w:bCs/>
                <w:kern w:val="0"/>
                <w:sz w:val="24"/>
                <w:szCs w:val="18"/>
              </w:rPr>
            </w:pPr>
          </w:p>
          <w:p>
            <w:pPr>
              <w:spacing w:line="360" w:lineRule="auto"/>
              <w:ind w:firstLine="470" w:firstLineChars="196"/>
              <w:rPr>
                <w:rFonts w:ascii="宋体" w:hAnsi="宋体"/>
                <w:bCs/>
                <w:kern w:val="0"/>
                <w:sz w:val="24"/>
                <w:szCs w:val="18"/>
              </w:rPr>
            </w:pPr>
            <w:r>
              <w:rPr>
                <w:rFonts w:hint="eastAsia" w:ascii="宋体" w:hAnsi="宋体"/>
                <w:bCs/>
                <w:kern w:val="0"/>
                <w:sz w:val="24"/>
                <w:szCs w:val="18"/>
              </w:rPr>
              <w:t>步骤一：勤观察</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步骤二：切断电源</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步骤三：救援</w:t>
            </w:r>
          </w:p>
          <w:p>
            <w:pPr>
              <w:spacing w:line="360" w:lineRule="auto"/>
              <w:ind w:firstLine="470" w:firstLineChars="196"/>
              <w:rPr>
                <w:rFonts w:hint="eastAsia" w:ascii="宋体" w:hAnsi="宋体"/>
                <w:bCs/>
                <w:kern w:val="0"/>
                <w:sz w:val="24"/>
                <w:szCs w:val="18"/>
              </w:rPr>
            </w:pPr>
            <w:r>
              <w:rPr>
                <w:rFonts w:hint="eastAsia" w:ascii="宋体" w:hAnsi="宋体"/>
                <w:bCs/>
                <w:kern w:val="0"/>
                <w:sz w:val="24"/>
                <w:szCs w:val="18"/>
              </w:rPr>
              <w:t>灭火器放在驾驶员触手可及的地方。</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通过学习，掌握汽车故障应急处理与检查。</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汽车突然熄火，应如何处理？</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4C"/>
    <w:rsid w:val="00280C4C"/>
    <w:rsid w:val="0043136F"/>
    <w:rsid w:val="00F10662"/>
    <w:rsid w:val="00F360A2"/>
    <w:rsid w:val="406B1A6F"/>
    <w:rsid w:val="4D6C6788"/>
    <w:rsid w:val="62AC7043"/>
    <w:rsid w:val="68B33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175</Words>
  <Characters>999</Characters>
  <Lines>8</Lines>
  <Paragraphs>2</Paragraphs>
  <TotalTime>0</TotalTime>
  <ScaleCrop>false</ScaleCrop>
  <LinksUpToDate>false</LinksUpToDate>
  <CharactersWithSpaces>1172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2019-09-02T04:52:00Z</dcterms:created>
  <dc:creator>小叶子</dc:creator>
  <cp:lastModifiedBy>zws</cp:lastModifiedBy>
  <dcterms:modified xsi:type="dcterms:W3CDTF">2021-11-30T00:29:39Z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D5DEB93307814F54A3B118421E6FD38B</vt:lpwstr>
  </property>
</Properties>
</file>